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E5BC" w14:textId="77777777" w:rsidR="000228CC" w:rsidRDefault="00000000">
      <w:pPr>
        <w:pStyle w:val="a9"/>
      </w:pPr>
      <w:r>
        <w:rPr>
          <w:lang w:val="en-GB"/>
        </w:rPr>
        <w:t>IRDR Fellowship</w:t>
      </w:r>
    </w:p>
    <w:p w14:paraId="22BA7D18" w14:textId="77777777" w:rsidR="000228CC" w:rsidRDefault="000228CC">
      <w:pPr>
        <w:rPr>
          <w:lang w:val="en-GB"/>
        </w:rPr>
      </w:pPr>
    </w:p>
    <w:p w14:paraId="569BBE76" w14:textId="77777777" w:rsidR="000228CC" w:rsidRDefault="00000000">
      <w:pPr>
        <w:pStyle w:val="ae"/>
        <w:numPr>
          <w:ilvl w:val="0"/>
          <w:numId w:val="1"/>
        </w:numPr>
        <w:spacing w:after="120" w:line="240" w:lineRule="auto"/>
        <w:jc w:val="both"/>
        <w:rPr>
          <w:sz w:val="24"/>
          <w:szCs w:val="24"/>
        </w:rPr>
      </w:pPr>
      <w:r>
        <w:rPr>
          <w:b/>
          <w:bCs/>
          <w:sz w:val="24"/>
          <w:szCs w:val="24"/>
        </w:rPr>
        <w:t>Background and Purpose</w:t>
      </w:r>
      <w:r>
        <w:rPr>
          <w:sz w:val="24"/>
          <w:szCs w:val="24"/>
        </w:rPr>
        <w:t xml:space="preserve"> </w:t>
      </w:r>
    </w:p>
    <w:p w14:paraId="7E738465" w14:textId="77777777" w:rsidR="000228CC" w:rsidRDefault="00000000">
      <w:pPr>
        <w:pStyle w:val="ae"/>
        <w:numPr>
          <w:ilvl w:val="1"/>
          <w:numId w:val="1"/>
        </w:numPr>
        <w:spacing w:after="120" w:line="240" w:lineRule="auto"/>
        <w:jc w:val="both"/>
        <w:rPr>
          <w:sz w:val="24"/>
          <w:szCs w:val="24"/>
        </w:rPr>
      </w:pPr>
      <w:r>
        <w:rPr>
          <w:sz w:val="24"/>
          <w:szCs w:val="24"/>
        </w:rPr>
        <w:t>Integrated Research on Disaster Risk (IRDR) is an international scientific programme cosponsored by the International Science Council (ISC) and the United Nations Office for Disaster Risk Reduction (UNDRR). The mission of IRDR is to mobilize science for the reduction of all types of disaster risk, building resilience, and reducing vulnerability by integrating risk science with climate change adaptation and mitigation and the Sustainable Development Goals. IRDR aims to usher in an inclusive, safe, and sustainable world by promoting a better understanding of disaster risk and the effective use of risk science in decision-making.</w:t>
      </w:r>
    </w:p>
    <w:p w14:paraId="521ABD1F" w14:textId="77777777" w:rsidR="000228CC" w:rsidRDefault="00000000">
      <w:pPr>
        <w:pStyle w:val="ae"/>
        <w:numPr>
          <w:ilvl w:val="1"/>
          <w:numId w:val="1"/>
        </w:numPr>
        <w:spacing w:after="120" w:line="240" w:lineRule="auto"/>
        <w:jc w:val="both"/>
        <w:rPr>
          <w:sz w:val="24"/>
          <w:szCs w:val="24"/>
        </w:rPr>
      </w:pPr>
      <w:r>
        <w:rPr>
          <w:sz w:val="24"/>
          <w:szCs w:val="24"/>
        </w:rPr>
        <w:t>To further strengthen IRDR's scientific capacity, amplify its impact, and broaden its engagement with policymakers, practitioners, and civil society, the IRDR Fellowship mechanism is established. </w:t>
      </w:r>
    </w:p>
    <w:p w14:paraId="0A50FEFF" w14:textId="77777777" w:rsidR="000228CC" w:rsidRDefault="000228CC">
      <w:pPr>
        <w:spacing w:after="120"/>
        <w:ind w:left="360"/>
        <w:rPr>
          <w:b/>
          <w:bCs/>
          <w:sz w:val="24"/>
          <w:szCs w:val="24"/>
        </w:rPr>
      </w:pPr>
    </w:p>
    <w:p w14:paraId="32DCCA3E" w14:textId="77777777" w:rsidR="000228CC" w:rsidRDefault="00000000">
      <w:pPr>
        <w:pStyle w:val="ae"/>
        <w:numPr>
          <w:ilvl w:val="0"/>
          <w:numId w:val="1"/>
        </w:numPr>
        <w:spacing w:after="120" w:line="240" w:lineRule="auto"/>
        <w:rPr>
          <w:b/>
          <w:bCs/>
          <w:sz w:val="24"/>
          <w:szCs w:val="24"/>
        </w:rPr>
      </w:pPr>
      <w:r>
        <w:rPr>
          <w:b/>
          <w:bCs/>
          <w:sz w:val="24"/>
          <w:szCs w:val="24"/>
        </w:rPr>
        <w:t>Rationale and Mandate</w:t>
      </w:r>
    </w:p>
    <w:p w14:paraId="23D07C8C" w14:textId="77777777" w:rsidR="000228CC" w:rsidRDefault="00000000">
      <w:pPr>
        <w:spacing w:after="120"/>
        <w:rPr>
          <w:sz w:val="24"/>
          <w:szCs w:val="24"/>
          <w:lang w:val="en-GB"/>
        </w:rPr>
      </w:pPr>
      <w:r>
        <w:rPr>
          <w:sz w:val="24"/>
          <w:szCs w:val="24"/>
          <w:lang w:val="en-GB"/>
        </w:rPr>
        <w:t xml:space="preserve">2.1.   The Fellowship shall be the highest honour awarded to individuals by the IRDR. It recognizes the individuals who have an exceptional track record in more than one of the following domains: </w:t>
      </w:r>
    </w:p>
    <w:p w14:paraId="2BB73E86" w14:textId="77777777" w:rsidR="000228CC" w:rsidRDefault="00000000">
      <w:pPr>
        <w:pStyle w:val="ae"/>
        <w:numPr>
          <w:ilvl w:val="0"/>
          <w:numId w:val="2"/>
        </w:numPr>
        <w:spacing w:after="120" w:line="240" w:lineRule="auto"/>
        <w:rPr>
          <w:sz w:val="24"/>
          <w:szCs w:val="24"/>
        </w:rPr>
      </w:pPr>
      <w:r>
        <w:rPr>
          <w:sz w:val="24"/>
          <w:szCs w:val="24"/>
        </w:rPr>
        <w:t xml:space="preserve">Promoting disaster risk science for the global good internationally </w:t>
      </w:r>
    </w:p>
    <w:p w14:paraId="2FE664B6" w14:textId="77777777" w:rsidR="000228CC" w:rsidRDefault="00000000">
      <w:pPr>
        <w:pStyle w:val="ae"/>
        <w:numPr>
          <w:ilvl w:val="0"/>
          <w:numId w:val="2"/>
        </w:numPr>
        <w:spacing w:after="120" w:line="240" w:lineRule="auto"/>
        <w:rPr>
          <w:sz w:val="24"/>
          <w:szCs w:val="24"/>
        </w:rPr>
      </w:pPr>
      <w:r>
        <w:rPr>
          <w:sz w:val="24"/>
          <w:szCs w:val="24"/>
        </w:rPr>
        <w:t>Providing broad scientific leadership in studies of disaster risks in the international arena</w:t>
      </w:r>
    </w:p>
    <w:p w14:paraId="34B25F47" w14:textId="77777777" w:rsidR="000228CC" w:rsidRDefault="00000000">
      <w:pPr>
        <w:pStyle w:val="ae"/>
        <w:numPr>
          <w:ilvl w:val="0"/>
          <w:numId w:val="2"/>
        </w:numPr>
        <w:spacing w:after="120" w:line="240" w:lineRule="auto"/>
        <w:rPr>
          <w:sz w:val="24"/>
          <w:szCs w:val="24"/>
        </w:rPr>
      </w:pPr>
      <w:r>
        <w:rPr>
          <w:sz w:val="24"/>
          <w:szCs w:val="24"/>
        </w:rPr>
        <w:t>Advancing the global voice for disaster risk science</w:t>
      </w:r>
    </w:p>
    <w:p w14:paraId="39FDF35F" w14:textId="77777777" w:rsidR="000228CC" w:rsidRDefault="00000000">
      <w:pPr>
        <w:pStyle w:val="ae"/>
        <w:numPr>
          <w:ilvl w:val="0"/>
          <w:numId w:val="2"/>
        </w:numPr>
        <w:spacing w:after="120" w:line="240" w:lineRule="auto"/>
        <w:rPr>
          <w:sz w:val="24"/>
          <w:szCs w:val="24"/>
        </w:rPr>
      </w:pPr>
      <w:r>
        <w:rPr>
          <w:sz w:val="24"/>
          <w:szCs w:val="24"/>
        </w:rPr>
        <w:t>Developing major scientific initiatives and structures related to disaster risk reduction</w:t>
      </w:r>
    </w:p>
    <w:p w14:paraId="5E6E4F6A" w14:textId="77777777" w:rsidR="000228CC" w:rsidRDefault="00000000">
      <w:pPr>
        <w:pStyle w:val="ae"/>
        <w:numPr>
          <w:ilvl w:val="0"/>
          <w:numId w:val="2"/>
        </w:numPr>
        <w:spacing w:after="120" w:line="240" w:lineRule="auto"/>
        <w:rPr>
          <w:sz w:val="24"/>
          <w:szCs w:val="24"/>
        </w:rPr>
      </w:pPr>
      <w:r>
        <w:rPr>
          <w:sz w:val="24"/>
          <w:szCs w:val="24"/>
        </w:rPr>
        <w:t>Scientific accomplishments in integrated research on disaster risk.</w:t>
      </w:r>
    </w:p>
    <w:p w14:paraId="0908BD7B" w14:textId="77777777" w:rsidR="000228CC" w:rsidRDefault="00000000">
      <w:pPr>
        <w:spacing w:after="120"/>
        <w:rPr>
          <w:sz w:val="24"/>
          <w:szCs w:val="24"/>
          <w:lang w:val="en-GB"/>
        </w:rPr>
      </w:pPr>
      <w:r>
        <w:rPr>
          <w:sz w:val="24"/>
          <w:szCs w:val="24"/>
          <w:lang w:val="en-GB"/>
        </w:rPr>
        <w:t xml:space="preserve">2.2.   IRDR Fellows must have the capacity to add value to the IRDR in amplifying the voice for disaster risk science through ambassadorial and advisory roles, and in accepting the fellowship acknowledge their willingness to assist IRDR activities when nominated and requested by the IRDR. Fellows are expected to uphold IRDR mission and vision. Forms of assistance offered by IRDR Fellows could include: </w:t>
      </w:r>
    </w:p>
    <w:p w14:paraId="55ACC175" w14:textId="77777777" w:rsidR="000228CC" w:rsidRDefault="00000000">
      <w:pPr>
        <w:pStyle w:val="ae"/>
        <w:numPr>
          <w:ilvl w:val="0"/>
          <w:numId w:val="3"/>
        </w:numPr>
        <w:spacing w:after="120" w:line="240" w:lineRule="auto"/>
        <w:jc w:val="both"/>
        <w:rPr>
          <w:sz w:val="24"/>
          <w:szCs w:val="24"/>
        </w:rPr>
      </w:pPr>
      <w:r>
        <w:rPr>
          <w:sz w:val="24"/>
          <w:szCs w:val="24"/>
        </w:rPr>
        <w:t>engagement in IRDR-related research cooperation;</w:t>
      </w:r>
    </w:p>
    <w:p w14:paraId="03B03254" w14:textId="77777777" w:rsidR="000228CC" w:rsidRDefault="00000000">
      <w:pPr>
        <w:pStyle w:val="ae"/>
        <w:numPr>
          <w:ilvl w:val="0"/>
          <w:numId w:val="3"/>
        </w:numPr>
        <w:spacing w:after="120" w:line="240" w:lineRule="auto"/>
        <w:jc w:val="both"/>
        <w:rPr>
          <w:sz w:val="24"/>
          <w:szCs w:val="24"/>
        </w:rPr>
      </w:pPr>
      <w:r>
        <w:rPr>
          <w:sz w:val="24"/>
          <w:szCs w:val="24"/>
        </w:rPr>
        <w:t>advocation for and representation of IRDR at international, national, and local DRR activities and platforms;</w:t>
      </w:r>
    </w:p>
    <w:p w14:paraId="484ABA3F" w14:textId="77777777" w:rsidR="000228CC" w:rsidRDefault="00000000">
      <w:pPr>
        <w:pStyle w:val="ae"/>
        <w:numPr>
          <w:ilvl w:val="0"/>
          <w:numId w:val="3"/>
        </w:numPr>
        <w:spacing w:after="120" w:line="240" w:lineRule="auto"/>
        <w:jc w:val="both"/>
        <w:rPr>
          <w:sz w:val="24"/>
          <w:szCs w:val="24"/>
        </w:rPr>
      </w:pPr>
      <w:r>
        <w:rPr>
          <w:sz w:val="24"/>
          <w:szCs w:val="24"/>
        </w:rPr>
        <w:t>facilitation of partnerships and resources to support the development of IRDR;</w:t>
      </w:r>
    </w:p>
    <w:p w14:paraId="29A90EC0" w14:textId="77777777" w:rsidR="000228CC" w:rsidRDefault="00000000">
      <w:pPr>
        <w:pStyle w:val="ae"/>
        <w:numPr>
          <w:ilvl w:val="0"/>
          <w:numId w:val="3"/>
        </w:numPr>
        <w:spacing w:after="120" w:line="240" w:lineRule="auto"/>
        <w:jc w:val="both"/>
        <w:rPr>
          <w:sz w:val="24"/>
          <w:szCs w:val="24"/>
        </w:rPr>
      </w:pPr>
      <w:r>
        <w:rPr>
          <w:sz w:val="24"/>
          <w:szCs w:val="24"/>
        </w:rPr>
        <w:t>service as a panellist for evaluations within the IRDR community;</w:t>
      </w:r>
    </w:p>
    <w:p w14:paraId="0766AE1A" w14:textId="77777777" w:rsidR="000228CC" w:rsidRDefault="00000000">
      <w:pPr>
        <w:pStyle w:val="ae"/>
        <w:numPr>
          <w:ilvl w:val="0"/>
          <w:numId w:val="3"/>
        </w:numPr>
        <w:spacing w:after="120" w:line="240" w:lineRule="auto"/>
        <w:jc w:val="both"/>
        <w:rPr>
          <w:sz w:val="24"/>
          <w:szCs w:val="24"/>
        </w:rPr>
      </w:pPr>
      <w:r>
        <w:rPr>
          <w:sz w:val="24"/>
          <w:szCs w:val="24"/>
        </w:rPr>
        <w:t>advice on the new nomination and invitation of IRDR Fellow;</w:t>
      </w:r>
    </w:p>
    <w:p w14:paraId="25E8C663" w14:textId="77777777" w:rsidR="000228CC" w:rsidRDefault="00000000">
      <w:pPr>
        <w:pStyle w:val="ae"/>
        <w:numPr>
          <w:ilvl w:val="0"/>
          <w:numId w:val="3"/>
        </w:numPr>
        <w:spacing w:after="120" w:line="240" w:lineRule="auto"/>
        <w:jc w:val="both"/>
        <w:rPr>
          <w:sz w:val="24"/>
          <w:szCs w:val="24"/>
        </w:rPr>
      </w:pPr>
      <w:r>
        <w:rPr>
          <w:sz w:val="24"/>
          <w:szCs w:val="24"/>
        </w:rPr>
        <w:t>guidance to early- and mid-career professionals in the IRDR community.</w:t>
      </w:r>
    </w:p>
    <w:p w14:paraId="44ED9283" w14:textId="77777777" w:rsidR="000228CC" w:rsidRDefault="00000000">
      <w:pPr>
        <w:spacing w:after="120"/>
        <w:rPr>
          <w:sz w:val="24"/>
          <w:szCs w:val="24"/>
          <w:lang w:val="en-GB"/>
        </w:rPr>
      </w:pPr>
      <w:r>
        <w:rPr>
          <w:sz w:val="24"/>
          <w:szCs w:val="24"/>
          <w:lang w:val="en-GB"/>
        </w:rPr>
        <w:t xml:space="preserve">2.3.   The fellowship aims to have a maximum of 60% of any gender and will have due </w:t>
      </w:r>
      <w:r>
        <w:rPr>
          <w:sz w:val="24"/>
          <w:szCs w:val="24"/>
          <w:lang w:val="en-GB"/>
        </w:rPr>
        <w:lastRenderedPageBreak/>
        <w:t xml:space="preserve">regard for geographical, disciplinary, ethnic and career-stage diversity. At least 40% of the fellows should come from or work primarily in low- or middle-income countries. </w:t>
      </w:r>
    </w:p>
    <w:p w14:paraId="4576EE60" w14:textId="77777777" w:rsidR="000228CC" w:rsidRDefault="00000000">
      <w:pPr>
        <w:spacing w:after="120"/>
        <w:rPr>
          <w:sz w:val="24"/>
          <w:szCs w:val="24"/>
        </w:rPr>
      </w:pPr>
      <w:r>
        <w:rPr>
          <w:sz w:val="24"/>
          <w:szCs w:val="24"/>
        </w:rPr>
        <w:t xml:space="preserve">2.4.   IRDR Fellows are referred to as active Fellows for the six years following their election (according to article 2.2), and as emeritus Fellows thereafter. </w:t>
      </w:r>
    </w:p>
    <w:p w14:paraId="0931326C" w14:textId="77777777" w:rsidR="000228CC" w:rsidRDefault="00000000">
      <w:pPr>
        <w:spacing w:after="120"/>
        <w:rPr>
          <w:sz w:val="24"/>
          <w:szCs w:val="24"/>
          <w:lang w:val="en-GB"/>
        </w:rPr>
      </w:pPr>
      <w:r>
        <w:rPr>
          <w:sz w:val="24"/>
          <w:szCs w:val="24"/>
        </w:rPr>
        <w:t xml:space="preserve">2.5.   </w:t>
      </w:r>
      <w:r>
        <w:rPr>
          <w:sz w:val="24"/>
          <w:szCs w:val="24"/>
          <w:lang w:val="en-GB"/>
        </w:rPr>
        <w:t xml:space="preserve">The IRDR SC can revoke the fellowship of any individual if a case of misconduct is brought forward by the Fellowship Bureau based on due process (as determined by the Fellowship Bureau). </w:t>
      </w:r>
    </w:p>
    <w:p w14:paraId="5AE810B6" w14:textId="77777777" w:rsidR="000228CC" w:rsidRDefault="00000000">
      <w:pPr>
        <w:spacing w:after="120"/>
        <w:rPr>
          <w:sz w:val="24"/>
          <w:szCs w:val="24"/>
          <w:lang w:val="en-GB"/>
        </w:rPr>
      </w:pPr>
      <w:r>
        <w:rPr>
          <w:b/>
          <w:bCs/>
          <w:sz w:val="24"/>
          <w:szCs w:val="24"/>
        </w:rPr>
        <w:t>3. Nomination and Election of IRDR Fellows</w:t>
      </w:r>
    </w:p>
    <w:p w14:paraId="65AB11B9" w14:textId="77777777" w:rsidR="000228CC" w:rsidRDefault="00000000">
      <w:pPr>
        <w:spacing w:after="120"/>
        <w:rPr>
          <w:sz w:val="24"/>
          <w:szCs w:val="24"/>
        </w:rPr>
      </w:pPr>
      <w:r>
        <w:rPr>
          <w:sz w:val="24"/>
          <w:szCs w:val="24"/>
        </w:rPr>
        <w:t xml:space="preserve">3.1.   </w:t>
      </w:r>
      <w:r>
        <w:rPr>
          <w:sz w:val="24"/>
          <w:szCs w:val="24"/>
          <w:lang w:val="en-GB"/>
        </w:rPr>
        <w:t>Nomination</w:t>
      </w:r>
      <w:r>
        <w:rPr>
          <w:sz w:val="24"/>
          <w:szCs w:val="24"/>
        </w:rPr>
        <w:t>s</w:t>
      </w:r>
      <w:r>
        <w:rPr>
          <w:sz w:val="24"/>
          <w:szCs w:val="24"/>
          <w:lang w:val="en-GB"/>
        </w:rPr>
        <w:t xml:space="preserve"> </w:t>
      </w:r>
      <w:r>
        <w:rPr>
          <w:sz w:val="24"/>
          <w:szCs w:val="24"/>
        </w:rPr>
        <w:t xml:space="preserve">of distinguished individuals are </w:t>
      </w:r>
      <w:r>
        <w:rPr>
          <w:sz w:val="24"/>
          <w:szCs w:val="24"/>
          <w:lang w:val="en-GB"/>
        </w:rPr>
        <w:t xml:space="preserve">open year-round </w:t>
      </w:r>
      <w:r>
        <w:rPr>
          <w:sz w:val="24"/>
          <w:szCs w:val="24"/>
        </w:rPr>
        <w:t xml:space="preserve">with the specified deadline for their submission. </w:t>
      </w:r>
    </w:p>
    <w:p w14:paraId="59D5B862" w14:textId="77777777" w:rsidR="000228CC" w:rsidRDefault="00000000">
      <w:pPr>
        <w:spacing w:after="120"/>
        <w:rPr>
          <w:sz w:val="24"/>
          <w:szCs w:val="24"/>
        </w:rPr>
      </w:pPr>
      <w:r>
        <w:rPr>
          <w:sz w:val="24"/>
          <w:szCs w:val="24"/>
        </w:rPr>
        <w:t>3.2.   IRDR Fellow can be nominated by one of two routes:</w:t>
      </w:r>
    </w:p>
    <w:p w14:paraId="3068EA58" w14:textId="77777777" w:rsidR="000228CC" w:rsidRDefault="00000000">
      <w:pPr>
        <w:spacing w:after="120"/>
        <w:rPr>
          <w:sz w:val="24"/>
          <w:szCs w:val="24"/>
        </w:rPr>
      </w:pPr>
      <w:r>
        <w:rPr>
          <w:sz w:val="24"/>
          <w:szCs w:val="24"/>
        </w:rPr>
        <w:t>Group A (IRDR Community):</w:t>
      </w:r>
    </w:p>
    <w:p w14:paraId="717EB9FE" w14:textId="630311AA" w:rsidR="004A7DC7" w:rsidRDefault="004A7DC7" w:rsidP="004A7DC7">
      <w:pPr>
        <w:pStyle w:val="ae"/>
        <w:numPr>
          <w:ilvl w:val="0"/>
          <w:numId w:val="4"/>
        </w:numPr>
        <w:spacing w:after="120" w:line="240" w:lineRule="auto"/>
        <w:rPr>
          <w:sz w:val="24"/>
          <w:szCs w:val="24"/>
        </w:rPr>
      </w:pPr>
      <w:r>
        <w:rPr>
          <w:sz w:val="24"/>
          <w:szCs w:val="24"/>
        </w:rPr>
        <w:t xml:space="preserve">IRDR </w:t>
      </w:r>
      <w:r>
        <w:rPr>
          <w:sz w:val="24"/>
          <w:szCs w:val="24"/>
        </w:rPr>
        <w:t xml:space="preserve">Fellows </w:t>
      </w:r>
    </w:p>
    <w:p w14:paraId="614ADA1E" w14:textId="77777777" w:rsidR="000228CC" w:rsidRDefault="00000000">
      <w:pPr>
        <w:pStyle w:val="ae"/>
        <w:numPr>
          <w:ilvl w:val="0"/>
          <w:numId w:val="4"/>
        </w:numPr>
        <w:spacing w:after="120" w:line="240" w:lineRule="auto"/>
        <w:rPr>
          <w:sz w:val="24"/>
          <w:szCs w:val="24"/>
        </w:rPr>
      </w:pPr>
      <w:r>
        <w:rPr>
          <w:sz w:val="24"/>
          <w:szCs w:val="24"/>
        </w:rPr>
        <w:t>Chair of the IRDR Scientific Committee on behalf of the Committee</w:t>
      </w:r>
    </w:p>
    <w:p w14:paraId="620C73F8" w14:textId="77777777" w:rsidR="000228CC" w:rsidRDefault="00000000">
      <w:pPr>
        <w:pStyle w:val="ae"/>
        <w:numPr>
          <w:ilvl w:val="0"/>
          <w:numId w:val="4"/>
        </w:numPr>
        <w:spacing w:after="120" w:line="240" w:lineRule="auto"/>
        <w:rPr>
          <w:sz w:val="24"/>
          <w:szCs w:val="24"/>
        </w:rPr>
      </w:pPr>
      <w:r>
        <w:rPr>
          <w:sz w:val="24"/>
          <w:szCs w:val="24"/>
        </w:rPr>
        <w:t>Head of the IRDR National Committee</w:t>
      </w:r>
    </w:p>
    <w:p w14:paraId="1FEC3752" w14:textId="77777777" w:rsidR="000228CC" w:rsidRDefault="00000000">
      <w:pPr>
        <w:pStyle w:val="ae"/>
        <w:numPr>
          <w:ilvl w:val="0"/>
          <w:numId w:val="4"/>
        </w:numPr>
        <w:spacing w:after="120" w:line="240" w:lineRule="auto"/>
        <w:rPr>
          <w:sz w:val="24"/>
          <w:szCs w:val="24"/>
        </w:rPr>
      </w:pPr>
      <w:r>
        <w:rPr>
          <w:sz w:val="24"/>
          <w:szCs w:val="24"/>
        </w:rPr>
        <w:t>Head of the IRDR International Centre for Excellence</w:t>
      </w:r>
    </w:p>
    <w:p w14:paraId="158CE0D5" w14:textId="77777777" w:rsidR="000228CC" w:rsidRDefault="00000000">
      <w:pPr>
        <w:pStyle w:val="ae"/>
        <w:numPr>
          <w:ilvl w:val="0"/>
          <w:numId w:val="4"/>
        </w:numPr>
        <w:spacing w:after="120" w:line="240" w:lineRule="auto"/>
        <w:rPr>
          <w:sz w:val="24"/>
          <w:szCs w:val="24"/>
        </w:rPr>
      </w:pPr>
      <w:r>
        <w:rPr>
          <w:sz w:val="24"/>
          <w:szCs w:val="24"/>
        </w:rPr>
        <w:t>IRDR Executive Director on behalf of the International Programme Office</w:t>
      </w:r>
    </w:p>
    <w:p w14:paraId="672516AC" w14:textId="77777777" w:rsidR="000228CC" w:rsidRDefault="00000000">
      <w:pPr>
        <w:spacing w:after="120"/>
        <w:rPr>
          <w:sz w:val="24"/>
          <w:szCs w:val="24"/>
        </w:rPr>
      </w:pPr>
      <w:r>
        <w:rPr>
          <w:sz w:val="24"/>
          <w:szCs w:val="24"/>
        </w:rPr>
        <w:t>Group B (co-sponsors, donor and host):</w:t>
      </w:r>
    </w:p>
    <w:p w14:paraId="096C15C1" w14:textId="77777777" w:rsidR="000228CC" w:rsidRDefault="00000000">
      <w:pPr>
        <w:pStyle w:val="ae"/>
        <w:numPr>
          <w:ilvl w:val="0"/>
          <w:numId w:val="5"/>
        </w:numPr>
        <w:spacing w:after="120" w:line="240" w:lineRule="auto"/>
        <w:rPr>
          <w:sz w:val="24"/>
          <w:szCs w:val="24"/>
        </w:rPr>
      </w:pPr>
      <w:r>
        <w:rPr>
          <w:sz w:val="24"/>
          <w:szCs w:val="24"/>
        </w:rPr>
        <w:t>Representative of Co-Sponsor: the International Science Council (ISC) Secretariat</w:t>
      </w:r>
    </w:p>
    <w:p w14:paraId="666D1326" w14:textId="77777777" w:rsidR="000228CC" w:rsidRDefault="00000000">
      <w:pPr>
        <w:pStyle w:val="ae"/>
        <w:numPr>
          <w:ilvl w:val="0"/>
          <w:numId w:val="5"/>
        </w:numPr>
        <w:spacing w:after="120" w:line="240" w:lineRule="auto"/>
        <w:rPr>
          <w:sz w:val="24"/>
          <w:szCs w:val="24"/>
        </w:rPr>
      </w:pPr>
      <w:r>
        <w:rPr>
          <w:sz w:val="24"/>
          <w:szCs w:val="24"/>
        </w:rPr>
        <w:t>Representative of Co-Sponsor: the United Nations Office for Disaster Risk Reduction (UNDRR)</w:t>
      </w:r>
    </w:p>
    <w:p w14:paraId="256EA55D" w14:textId="77777777" w:rsidR="000228CC" w:rsidRDefault="00000000">
      <w:pPr>
        <w:pStyle w:val="ae"/>
        <w:numPr>
          <w:ilvl w:val="0"/>
          <w:numId w:val="5"/>
        </w:numPr>
        <w:spacing w:after="120" w:line="240" w:lineRule="auto"/>
        <w:rPr>
          <w:sz w:val="24"/>
          <w:szCs w:val="24"/>
        </w:rPr>
      </w:pPr>
      <w:r>
        <w:rPr>
          <w:sz w:val="24"/>
          <w:szCs w:val="24"/>
        </w:rPr>
        <w:t>Representative of the Donor Organization: Chin</w:t>
      </w:r>
      <w:r>
        <w:rPr>
          <w:rFonts w:hint="eastAsia"/>
          <w:sz w:val="24"/>
          <w:szCs w:val="24"/>
        </w:rPr>
        <w:t>a</w:t>
      </w:r>
      <w:r>
        <w:rPr>
          <w:sz w:val="24"/>
          <w:szCs w:val="24"/>
        </w:rPr>
        <w:t xml:space="preserve"> Association of Science and Technology (CAST)</w:t>
      </w:r>
    </w:p>
    <w:p w14:paraId="5D514ECC" w14:textId="77777777" w:rsidR="000228CC" w:rsidRDefault="00000000">
      <w:pPr>
        <w:pStyle w:val="ae"/>
        <w:numPr>
          <w:ilvl w:val="0"/>
          <w:numId w:val="5"/>
        </w:numPr>
        <w:spacing w:after="120" w:line="240" w:lineRule="auto"/>
        <w:rPr>
          <w:sz w:val="24"/>
          <w:szCs w:val="24"/>
        </w:rPr>
      </w:pPr>
      <w:r>
        <w:rPr>
          <w:sz w:val="24"/>
          <w:szCs w:val="24"/>
        </w:rPr>
        <w:t>Representative of the Host Organization: Chinese Academy of Sciences</w:t>
      </w:r>
    </w:p>
    <w:p w14:paraId="131757D2" w14:textId="79B6D4B5" w:rsidR="000228CC" w:rsidRDefault="00000000">
      <w:pPr>
        <w:spacing w:after="120"/>
        <w:rPr>
          <w:sz w:val="24"/>
          <w:szCs w:val="24"/>
        </w:rPr>
      </w:pPr>
      <w:r>
        <w:rPr>
          <w:sz w:val="24"/>
          <w:szCs w:val="24"/>
        </w:rPr>
        <w:t xml:space="preserve">3.3.   A Fellows Selection Committee will be established </w:t>
      </w:r>
      <w:r w:rsidR="004A7DC7" w:rsidRPr="00DB7C9C">
        <w:rPr>
          <w:sz w:val="24"/>
          <w:szCs w:val="24"/>
          <w:highlight w:val="yellow"/>
          <w:rPrChange w:id="0" w:author="Alik Ismail-Zadeh" w:date="2026-04-12T11:09:00Z" w16du:dateUtc="2026-04-12T09:09:00Z">
            <w:rPr>
              <w:sz w:val="24"/>
              <w:szCs w:val="24"/>
            </w:rPr>
          </w:rPrChange>
        </w:rPr>
        <w:t xml:space="preserve">(by </w:t>
      </w:r>
      <w:commentRangeStart w:id="1"/>
      <w:r w:rsidR="004A7DC7" w:rsidRPr="00DB7C9C">
        <w:rPr>
          <w:sz w:val="24"/>
          <w:szCs w:val="24"/>
          <w:highlight w:val="yellow"/>
          <w:rPrChange w:id="2" w:author="Alik Ismail-Zadeh" w:date="2026-04-12T11:09:00Z" w16du:dateUtc="2026-04-12T09:09:00Z">
            <w:rPr>
              <w:sz w:val="24"/>
              <w:szCs w:val="24"/>
            </w:rPr>
          </w:rPrChange>
        </w:rPr>
        <w:t>whom</w:t>
      </w:r>
      <w:commentRangeEnd w:id="1"/>
      <w:r w:rsidR="00DB7C9C" w:rsidRPr="00DB7C9C">
        <w:rPr>
          <w:rStyle w:val="ad"/>
          <w:sz w:val="24"/>
          <w:szCs w:val="24"/>
          <w:highlight w:val="yellow"/>
          <w:rPrChange w:id="3" w:author="Alik Ismail-Zadeh" w:date="2026-04-12T11:09:00Z" w16du:dateUtc="2026-04-12T09:09:00Z">
            <w:rPr>
              <w:rStyle w:val="ad"/>
              <w:sz w:val="24"/>
              <w:szCs w:val="24"/>
            </w:rPr>
          </w:rPrChange>
        </w:rPr>
        <w:commentReference w:id="1"/>
      </w:r>
      <w:r w:rsidR="004A7DC7" w:rsidRPr="00DB7C9C">
        <w:rPr>
          <w:sz w:val="24"/>
          <w:szCs w:val="24"/>
          <w:highlight w:val="yellow"/>
          <w:rPrChange w:id="4" w:author="Alik Ismail-Zadeh" w:date="2026-04-12T11:09:00Z" w16du:dateUtc="2026-04-12T09:09:00Z">
            <w:rPr>
              <w:sz w:val="24"/>
              <w:szCs w:val="24"/>
            </w:rPr>
          </w:rPrChange>
        </w:rPr>
        <w:t>?)</w:t>
      </w:r>
      <w:r w:rsidR="004A7DC7">
        <w:rPr>
          <w:sz w:val="24"/>
          <w:szCs w:val="24"/>
        </w:rPr>
        <w:t xml:space="preserve"> to evaluate the nominations and select new Fellows</w:t>
      </w:r>
      <w:r>
        <w:rPr>
          <w:sz w:val="24"/>
          <w:szCs w:val="24"/>
        </w:rPr>
        <w:t>. The Fellow</w:t>
      </w:r>
      <w:r w:rsidR="004A7DC7">
        <w:rPr>
          <w:sz w:val="24"/>
          <w:szCs w:val="24"/>
        </w:rPr>
        <w:t>s</w:t>
      </w:r>
      <w:r>
        <w:rPr>
          <w:sz w:val="24"/>
          <w:szCs w:val="24"/>
        </w:rPr>
        <w:t xml:space="preserve"> Selection Committee will comprise of </w:t>
      </w:r>
      <w:r w:rsidR="00DB7C9C">
        <w:rPr>
          <w:sz w:val="24"/>
          <w:szCs w:val="24"/>
        </w:rPr>
        <w:t xml:space="preserve">six </w:t>
      </w:r>
      <w:r>
        <w:rPr>
          <w:sz w:val="24"/>
          <w:szCs w:val="24"/>
        </w:rPr>
        <w:t xml:space="preserve">Fellows. </w:t>
      </w:r>
    </w:p>
    <w:p w14:paraId="20CAA5F2" w14:textId="77777777" w:rsidR="000228CC" w:rsidRDefault="00000000">
      <w:pPr>
        <w:spacing w:after="120"/>
        <w:rPr>
          <w:sz w:val="24"/>
          <w:szCs w:val="24"/>
        </w:rPr>
      </w:pPr>
      <w:r>
        <w:rPr>
          <w:sz w:val="24"/>
          <w:szCs w:val="24"/>
        </w:rPr>
        <w:t xml:space="preserve">3.4.   After the deadline for nominations, the Fellows Selection Committee will assess the nominations based on the criteria indicated in Article 2.1 and recommend up to </w:t>
      </w:r>
      <w:r w:rsidRPr="00DB7C9C">
        <w:rPr>
          <w:sz w:val="24"/>
          <w:szCs w:val="24"/>
          <w:highlight w:val="yellow"/>
          <w:rPrChange w:id="5" w:author="Alik Ismail-Zadeh" w:date="2026-04-12T11:14:00Z" w16du:dateUtc="2026-04-12T09:14:00Z">
            <w:rPr>
              <w:sz w:val="24"/>
              <w:szCs w:val="24"/>
            </w:rPr>
          </w:rPrChange>
        </w:rPr>
        <w:t>20 new</w:t>
      </w:r>
      <w:r>
        <w:rPr>
          <w:sz w:val="24"/>
          <w:szCs w:val="24"/>
        </w:rPr>
        <w:t xml:space="preserve"> </w:t>
      </w:r>
      <w:commentRangeStart w:id="6"/>
      <w:r>
        <w:rPr>
          <w:sz w:val="24"/>
          <w:szCs w:val="24"/>
        </w:rPr>
        <w:t>Fellows</w:t>
      </w:r>
      <w:commentRangeEnd w:id="6"/>
      <w:r w:rsidR="00F71975">
        <w:rPr>
          <w:rStyle w:val="ad"/>
          <w:sz w:val="24"/>
          <w:szCs w:val="24"/>
        </w:rPr>
        <w:commentReference w:id="6"/>
      </w:r>
      <w:r>
        <w:rPr>
          <w:sz w:val="24"/>
          <w:szCs w:val="24"/>
        </w:rPr>
        <w:t xml:space="preserve"> to be selected. (The IRDR SC may suggest changing this number of new Fellows, in consultation with the Fellow Selection Committee.) </w:t>
      </w:r>
    </w:p>
    <w:p w14:paraId="03C4EE33" w14:textId="013B1D40" w:rsidR="000228CC" w:rsidRDefault="00000000">
      <w:pPr>
        <w:spacing w:after="120"/>
        <w:rPr>
          <w:sz w:val="24"/>
          <w:szCs w:val="24"/>
        </w:rPr>
      </w:pPr>
      <w:r>
        <w:rPr>
          <w:sz w:val="24"/>
          <w:szCs w:val="24"/>
        </w:rPr>
        <w:t xml:space="preserve">3.5.   The IRDR </w:t>
      </w:r>
      <w:commentRangeStart w:id="7"/>
      <w:r w:rsidR="00F71975" w:rsidRPr="00F71975">
        <w:rPr>
          <w:sz w:val="24"/>
          <w:szCs w:val="24"/>
          <w:highlight w:val="yellow"/>
          <w:rPrChange w:id="8" w:author="Alik Ismail-Zadeh" w:date="2026-04-12T11:20:00Z" w16du:dateUtc="2026-04-12T09:20:00Z">
            <w:rPr>
              <w:sz w:val="24"/>
              <w:szCs w:val="24"/>
            </w:rPr>
          </w:rPrChange>
        </w:rPr>
        <w:t>BODY</w:t>
      </w:r>
      <w:commentRangeEnd w:id="7"/>
      <w:r w:rsidR="00F71975">
        <w:rPr>
          <w:rStyle w:val="ad"/>
          <w:sz w:val="24"/>
          <w:szCs w:val="24"/>
        </w:rPr>
        <w:commentReference w:id="7"/>
      </w:r>
      <w:r w:rsidR="00F71975">
        <w:rPr>
          <w:sz w:val="24"/>
          <w:szCs w:val="24"/>
        </w:rPr>
        <w:t xml:space="preserve"> </w:t>
      </w:r>
      <w:r>
        <w:rPr>
          <w:sz w:val="24"/>
          <w:szCs w:val="24"/>
        </w:rPr>
        <w:t xml:space="preserve">considers the recommendation of the Fellows Selection Committee and decides on new Fellows. The IRDR IPO will then invite the selected individuals to join the IRDR Fellowship. These individuals must agree to receiving the fellowship before it is formally awarded. </w:t>
      </w:r>
    </w:p>
    <w:p w14:paraId="36EB6C8F" w14:textId="77777777" w:rsidR="000228CC" w:rsidRDefault="00000000">
      <w:pPr>
        <w:spacing w:after="120"/>
        <w:rPr>
          <w:sz w:val="24"/>
          <w:szCs w:val="24"/>
        </w:rPr>
      </w:pPr>
      <w:r>
        <w:rPr>
          <w:sz w:val="24"/>
          <w:szCs w:val="24"/>
        </w:rPr>
        <w:t>3.6.   The certificate of an IRDR Fellowship will be issued by IRDR IPO and signed by the IRDR Executive Director.</w:t>
      </w:r>
    </w:p>
    <w:p w14:paraId="12048D9B" w14:textId="27BB469E" w:rsidR="00F71975" w:rsidRDefault="00000000">
      <w:pPr>
        <w:spacing w:after="120"/>
        <w:rPr>
          <w:sz w:val="24"/>
          <w:szCs w:val="24"/>
        </w:rPr>
      </w:pPr>
      <w:r>
        <w:rPr>
          <w:sz w:val="24"/>
          <w:szCs w:val="24"/>
        </w:rPr>
        <w:t>3.7.   Fellows shall not be charged a fee for the fellowship.</w:t>
      </w:r>
    </w:p>
    <w:p w14:paraId="11BE2842" w14:textId="77777777" w:rsidR="000228CC" w:rsidRDefault="00000000">
      <w:pPr>
        <w:spacing w:after="120"/>
        <w:rPr>
          <w:sz w:val="24"/>
          <w:szCs w:val="24"/>
        </w:rPr>
      </w:pPr>
      <w:r>
        <w:rPr>
          <w:sz w:val="24"/>
          <w:szCs w:val="24"/>
        </w:rPr>
        <w:lastRenderedPageBreak/>
        <w:t>3.8.   IRDR IPO will serve as secretariat for the Fellowship programme, managing nominations, appointments, and communications. IRDR Science Officer will be the focal point of IRDR Fellows.</w:t>
      </w:r>
    </w:p>
    <w:sectPr w:rsidR="000228CC">
      <w:headerReference w:type="default" r:id="rId11"/>
      <w:pgSz w:w="11906" w:h="16838"/>
      <w:pgMar w:top="1440" w:right="1376"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ik Ismail-Zadeh" w:date="2026-04-12T11:13:00Z" w:initials="AI">
    <w:p w14:paraId="394134A7" w14:textId="77777777" w:rsidR="00F71975" w:rsidRDefault="00DB7C9C" w:rsidP="00F71975">
      <w:pPr>
        <w:pStyle w:val="a3"/>
        <w:jc w:val="left"/>
      </w:pPr>
      <w:r>
        <w:rPr>
          <w:rStyle w:val="ad"/>
        </w:rPr>
        <w:annotationRef/>
      </w:r>
      <w:r w:rsidR="00F71975">
        <w:t>To IRDR SC:</w:t>
      </w:r>
    </w:p>
    <w:p w14:paraId="158DAEDB" w14:textId="77777777" w:rsidR="00F71975" w:rsidRDefault="00F71975" w:rsidP="00F71975">
      <w:pPr>
        <w:pStyle w:val="a3"/>
        <w:jc w:val="left"/>
      </w:pPr>
      <w:r>
        <w:t xml:space="preserve">There are two options at present: to be established by </w:t>
      </w:r>
    </w:p>
    <w:p w14:paraId="7779C645" w14:textId="77777777" w:rsidR="00F71975" w:rsidRDefault="00F71975" w:rsidP="00F71975">
      <w:pPr>
        <w:pStyle w:val="a3"/>
        <w:jc w:val="left"/>
      </w:pPr>
      <w:r>
        <w:t xml:space="preserve">(i) the IRDR Scientific Committee (SC) or </w:t>
      </w:r>
    </w:p>
    <w:p w14:paraId="15B8468C" w14:textId="77777777" w:rsidR="00F71975" w:rsidRDefault="00F71975" w:rsidP="00F71975">
      <w:pPr>
        <w:pStyle w:val="a3"/>
        <w:jc w:val="left"/>
      </w:pPr>
      <w:r>
        <w:t>(ii) the co-sponsors (ISC and UNDRR), if they agree to do this work (which is actually in the hands of the IRDR SC).</w:t>
      </w:r>
    </w:p>
    <w:p w14:paraId="6D02B8C4" w14:textId="77777777" w:rsidR="00F71975" w:rsidRDefault="00F71975" w:rsidP="00F71975">
      <w:pPr>
        <w:pStyle w:val="a3"/>
        <w:jc w:val="left"/>
      </w:pPr>
      <w:r>
        <w:rPr>
          <w:color w:val="EE0000"/>
        </w:rPr>
        <w:t>Action: The SC is to decide.</w:t>
      </w:r>
    </w:p>
  </w:comment>
  <w:comment w:id="6" w:author="Alik Ismail-Zadeh" w:date="2026-04-12T11:19:00Z" w:initials="AI">
    <w:p w14:paraId="53FB647C" w14:textId="48CEE931" w:rsidR="00F71975" w:rsidRDefault="00F71975" w:rsidP="00F71975">
      <w:pPr>
        <w:pStyle w:val="a3"/>
        <w:jc w:val="left"/>
      </w:pPr>
      <w:r>
        <w:rPr>
          <w:rStyle w:val="ad"/>
        </w:rPr>
        <w:annotationRef/>
      </w:r>
      <w:r>
        <w:rPr>
          <w:color w:val="EE0000"/>
        </w:rPr>
        <w:t>Action: The SC is to decide.</w:t>
      </w:r>
    </w:p>
  </w:comment>
  <w:comment w:id="7" w:author="Alik Ismail-Zadeh" w:date="2026-04-12T11:23:00Z" w:initials="AI">
    <w:p w14:paraId="37AC8851" w14:textId="77777777" w:rsidR="00F71975" w:rsidRDefault="00F71975" w:rsidP="00F71975">
      <w:pPr>
        <w:pStyle w:val="a3"/>
        <w:jc w:val="left"/>
      </w:pPr>
      <w:r>
        <w:rPr>
          <w:rStyle w:val="ad"/>
        </w:rPr>
        <w:annotationRef/>
      </w:r>
      <w:r>
        <w:t>To IRDR SC:</w:t>
      </w:r>
    </w:p>
    <w:p w14:paraId="70F65694" w14:textId="77777777" w:rsidR="00F71975" w:rsidRDefault="00F71975" w:rsidP="00F71975">
      <w:pPr>
        <w:pStyle w:val="a3"/>
        <w:jc w:val="left"/>
      </w:pPr>
      <w:r>
        <w:t xml:space="preserve">There are two options at present: recommendations of the Fellows Selection Committee is formally approved by </w:t>
      </w:r>
    </w:p>
    <w:p w14:paraId="35644CB9" w14:textId="77777777" w:rsidR="00F71975" w:rsidRDefault="00F71975" w:rsidP="00F71975">
      <w:pPr>
        <w:pStyle w:val="a3"/>
        <w:jc w:val="left"/>
      </w:pPr>
      <w:r>
        <w:t xml:space="preserve">(i) the SC (considering a potential conflict of interest) or </w:t>
      </w:r>
    </w:p>
    <w:p w14:paraId="63E030D8" w14:textId="77777777" w:rsidR="00F71975" w:rsidRDefault="00F71975" w:rsidP="00F71975">
      <w:pPr>
        <w:pStyle w:val="a3"/>
        <w:jc w:val="left"/>
      </w:pPr>
      <w:r>
        <w:t>(ii) the  co-sponsors (ISC and UNDRR), if they agree to do this work (which is actually in the hands of the IRDR SC).</w:t>
      </w:r>
    </w:p>
    <w:p w14:paraId="0D150DA7" w14:textId="77777777" w:rsidR="00F71975" w:rsidRDefault="00F71975" w:rsidP="00F71975">
      <w:pPr>
        <w:pStyle w:val="a3"/>
        <w:jc w:val="left"/>
      </w:pPr>
      <w:r>
        <w:rPr>
          <w:color w:val="EE0000"/>
        </w:rPr>
        <w:t>Action: The SC is to decide.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02B8C4" w15:done="0"/>
  <w15:commentEx w15:paraId="53FB647C" w15:done="0"/>
  <w15:commentEx w15:paraId="0D150D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8054C" w16cex:dateUtc="2026-04-12T09:13:00Z"/>
  <w16cex:commentExtensible w16cex:durableId="08774B84" w16cex:dateUtc="2026-04-12T09:19:00Z"/>
  <w16cex:commentExtensible w16cex:durableId="2CBD4080" w16cex:dateUtc="2026-04-12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2B8C4" w16cid:durableId="0748054C"/>
  <w16cid:commentId w16cid:paraId="53FB647C" w16cid:durableId="08774B84"/>
  <w16cid:commentId w16cid:paraId="0D150DA7" w16cid:durableId="2CBD40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ADBB" w14:textId="77777777" w:rsidR="009F1EE9" w:rsidRDefault="009F1EE9">
      <w:r>
        <w:separator/>
      </w:r>
    </w:p>
  </w:endnote>
  <w:endnote w:type="continuationSeparator" w:id="0">
    <w:p w14:paraId="25A3C3B0" w14:textId="77777777" w:rsidR="009F1EE9" w:rsidRDefault="009F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F972" w14:textId="77777777" w:rsidR="009F1EE9" w:rsidRDefault="009F1EE9">
      <w:r>
        <w:separator/>
      </w:r>
    </w:p>
  </w:footnote>
  <w:footnote w:type="continuationSeparator" w:id="0">
    <w:p w14:paraId="6AAD68EB" w14:textId="77777777" w:rsidR="009F1EE9" w:rsidRDefault="009F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4494" w14:textId="77777777" w:rsidR="000228CC" w:rsidRDefault="00000000">
    <w:pPr>
      <w:pStyle w:val="a7"/>
    </w:pPr>
    <w:r>
      <w:rPr>
        <w:noProof/>
      </w:rPr>
      <w:drawing>
        <wp:anchor distT="0" distB="0" distL="114300" distR="114300" simplePos="0" relativeHeight="251659264" behindDoc="0" locked="0" layoutInCell="1" allowOverlap="1" wp14:anchorId="5C3BD808" wp14:editId="7EDB808C">
          <wp:simplePos x="0" y="0"/>
          <wp:positionH relativeFrom="column">
            <wp:posOffset>2102485</wp:posOffset>
          </wp:positionH>
          <wp:positionV relativeFrom="paragraph">
            <wp:posOffset>-356235</wp:posOffset>
          </wp:positionV>
          <wp:extent cx="1316355" cy="545465"/>
          <wp:effectExtent l="0" t="0" r="0" b="0"/>
          <wp:wrapNone/>
          <wp:docPr id="8928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250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16182" cy="54526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2183"/>
    <w:multiLevelType w:val="hybridMultilevel"/>
    <w:tmpl w:val="8ACC51B4"/>
    <w:lvl w:ilvl="0" w:tplc="BC3CD742">
      <w:start w:val="1"/>
      <w:numFmt w:val="lowerRoman"/>
      <w:lvlText w:val="%1)"/>
      <w:lvlJc w:val="right"/>
      <w:pPr>
        <w:ind w:left="1020" w:hanging="360"/>
      </w:pPr>
    </w:lvl>
    <w:lvl w:ilvl="1" w:tplc="85E89568">
      <w:start w:val="1"/>
      <w:numFmt w:val="lowerRoman"/>
      <w:lvlText w:val="%2)"/>
      <w:lvlJc w:val="right"/>
      <w:pPr>
        <w:ind w:left="1020" w:hanging="360"/>
      </w:pPr>
    </w:lvl>
    <w:lvl w:ilvl="2" w:tplc="20ACCDD8">
      <w:start w:val="1"/>
      <w:numFmt w:val="lowerRoman"/>
      <w:lvlText w:val="%3)"/>
      <w:lvlJc w:val="right"/>
      <w:pPr>
        <w:ind w:left="1020" w:hanging="360"/>
      </w:pPr>
    </w:lvl>
    <w:lvl w:ilvl="3" w:tplc="81287A22">
      <w:start w:val="1"/>
      <w:numFmt w:val="lowerRoman"/>
      <w:lvlText w:val="%4)"/>
      <w:lvlJc w:val="right"/>
      <w:pPr>
        <w:ind w:left="1020" w:hanging="360"/>
      </w:pPr>
    </w:lvl>
    <w:lvl w:ilvl="4" w:tplc="C998640E">
      <w:start w:val="1"/>
      <w:numFmt w:val="lowerRoman"/>
      <w:lvlText w:val="%5)"/>
      <w:lvlJc w:val="right"/>
      <w:pPr>
        <w:ind w:left="1020" w:hanging="360"/>
      </w:pPr>
    </w:lvl>
    <w:lvl w:ilvl="5" w:tplc="C58C0620">
      <w:start w:val="1"/>
      <w:numFmt w:val="lowerRoman"/>
      <w:lvlText w:val="%6)"/>
      <w:lvlJc w:val="right"/>
      <w:pPr>
        <w:ind w:left="1020" w:hanging="360"/>
      </w:pPr>
    </w:lvl>
    <w:lvl w:ilvl="6" w:tplc="31CEF5A4">
      <w:start w:val="1"/>
      <w:numFmt w:val="lowerRoman"/>
      <w:lvlText w:val="%7)"/>
      <w:lvlJc w:val="right"/>
      <w:pPr>
        <w:ind w:left="1020" w:hanging="360"/>
      </w:pPr>
    </w:lvl>
    <w:lvl w:ilvl="7" w:tplc="4B8C9D7E">
      <w:start w:val="1"/>
      <w:numFmt w:val="lowerRoman"/>
      <w:lvlText w:val="%8)"/>
      <w:lvlJc w:val="right"/>
      <w:pPr>
        <w:ind w:left="1020" w:hanging="360"/>
      </w:pPr>
    </w:lvl>
    <w:lvl w:ilvl="8" w:tplc="844E15EC">
      <w:start w:val="1"/>
      <w:numFmt w:val="lowerRoman"/>
      <w:lvlText w:val="%9)"/>
      <w:lvlJc w:val="right"/>
      <w:pPr>
        <w:ind w:left="1020" w:hanging="360"/>
      </w:pPr>
    </w:lvl>
  </w:abstractNum>
  <w:abstractNum w:abstractNumId="1" w15:restartNumberingAfterBreak="0">
    <w:nsid w:val="0BAF732D"/>
    <w:multiLevelType w:val="multilevel"/>
    <w:tmpl w:val="0BAF732D"/>
    <w:lvl w:ilvl="0">
      <w:numFmt w:val="bullet"/>
      <w:lvlText w:val="•"/>
      <w:lvlJc w:val="left"/>
      <w:pPr>
        <w:ind w:left="780" w:hanging="42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E10E22"/>
    <w:multiLevelType w:val="multilevel"/>
    <w:tmpl w:val="49E10E22"/>
    <w:lvl w:ilvl="0">
      <w:start w:val="1"/>
      <w:numFmt w:val="decimal"/>
      <w:lvlText w:val="%1."/>
      <w:lvlJc w:val="left"/>
      <w:pPr>
        <w:ind w:left="360" w:hanging="360"/>
      </w:pPr>
      <w:rPr>
        <w:rFonts w:hint="default"/>
        <w:b/>
        <w:bCs/>
      </w:rPr>
    </w:lvl>
    <w:lvl w:ilvl="1">
      <w:start w:val="1"/>
      <w:numFmt w:val="decimal"/>
      <w:isLgl/>
      <w:lvlText w:val="%1.%2"/>
      <w:lvlJc w:val="left"/>
      <w:pPr>
        <w:ind w:left="785"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C800471"/>
    <w:multiLevelType w:val="multilevel"/>
    <w:tmpl w:val="4C800471"/>
    <w:lvl w:ilvl="0">
      <w:numFmt w:val="bullet"/>
      <w:lvlText w:val="•"/>
      <w:lvlJc w:val="left"/>
      <w:pPr>
        <w:ind w:left="780" w:hanging="42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D75DFB"/>
    <w:multiLevelType w:val="multilevel"/>
    <w:tmpl w:val="55D75DFB"/>
    <w:lvl w:ilvl="0">
      <w:start w:val="1"/>
      <w:numFmt w:val="lowerLetter"/>
      <w:lvlText w:val="(%1)"/>
      <w:lvlJc w:val="left"/>
      <w:pPr>
        <w:ind w:left="1145" w:hanging="360"/>
      </w:pPr>
      <w:rPr>
        <w:rFonts w:hint="default"/>
      </w:rPr>
    </w:lvl>
    <w:lvl w:ilvl="1">
      <w:start w:val="1"/>
      <w:numFmt w:val="lowerLetter"/>
      <w:lvlText w:val="%2)"/>
      <w:lvlJc w:val="left"/>
      <w:pPr>
        <w:ind w:left="1665" w:hanging="440"/>
      </w:pPr>
    </w:lvl>
    <w:lvl w:ilvl="2">
      <w:start w:val="1"/>
      <w:numFmt w:val="lowerRoman"/>
      <w:lvlText w:val="%3."/>
      <w:lvlJc w:val="right"/>
      <w:pPr>
        <w:ind w:left="2105" w:hanging="440"/>
      </w:pPr>
    </w:lvl>
    <w:lvl w:ilvl="3">
      <w:start w:val="1"/>
      <w:numFmt w:val="decimal"/>
      <w:lvlText w:val="%4."/>
      <w:lvlJc w:val="left"/>
      <w:pPr>
        <w:ind w:left="2545" w:hanging="440"/>
      </w:pPr>
    </w:lvl>
    <w:lvl w:ilvl="4">
      <w:start w:val="1"/>
      <w:numFmt w:val="lowerLetter"/>
      <w:lvlText w:val="%5)"/>
      <w:lvlJc w:val="left"/>
      <w:pPr>
        <w:ind w:left="2985" w:hanging="440"/>
      </w:pPr>
    </w:lvl>
    <w:lvl w:ilvl="5">
      <w:start w:val="1"/>
      <w:numFmt w:val="lowerRoman"/>
      <w:lvlText w:val="%6."/>
      <w:lvlJc w:val="right"/>
      <w:pPr>
        <w:ind w:left="3425" w:hanging="440"/>
      </w:pPr>
    </w:lvl>
    <w:lvl w:ilvl="6">
      <w:start w:val="1"/>
      <w:numFmt w:val="decimal"/>
      <w:lvlText w:val="%7."/>
      <w:lvlJc w:val="left"/>
      <w:pPr>
        <w:ind w:left="3865" w:hanging="440"/>
      </w:pPr>
    </w:lvl>
    <w:lvl w:ilvl="7">
      <w:start w:val="1"/>
      <w:numFmt w:val="lowerLetter"/>
      <w:lvlText w:val="%8)"/>
      <w:lvlJc w:val="left"/>
      <w:pPr>
        <w:ind w:left="4305" w:hanging="440"/>
      </w:pPr>
    </w:lvl>
    <w:lvl w:ilvl="8">
      <w:start w:val="1"/>
      <w:numFmt w:val="lowerRoman"/>
      <w:lvlText w:val="%9."/>
      <w:lvlJc w:val="right"/>
      <w:pPr>
        <w:ind w:left="4745" w:hanging="440"/>
      </w:pPr>
    </w:lvl>
  </w:abstractNum>
  <w:abstractNum w:abstractNumId="5" w15:restartNumberingAfterBreak="0">
    <w:nsid w:val="75A62EC7"/>
    <w:multiLevelType w:val="multilevel"/>
    <w:tmpl w:val="75A62EC7"/>
    <w:lvl w:ilvl="0">
      <w:numFmt w:val="bullet"/>
      <w:lvlText w:val="•"/>
      <w:lvlJc w:val="left"/>
      <w:pPr>
        <w:ind w:left="780" w:hanging="42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74281800">
    <w:abstractNumId w:val="2"/>
  </w:num>
  <w:num w:numId="2" w16cid:durableId="1702395245">
    <w:abstractNumId w:val="3"/>
  </w:num>
  <w:num w:numId="3" w16cid:durableId="2130388391">
    <w:abstractNumId w:val="4"/>
  </w:num>
  <w:num w:numId="4" w16cid:durableId="1770810163">
    <w:abstractNumId w:val="5"/>
  </w:num>
  <w:num w:numId="5" w16cid:durableId="1556893577">
    <w:abstractNumId w:val="1"/>
  </w:num>
  <w:num w:numId="6" w16cid:durableId="8662161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k Ismail-Zadeh">
    <w15:presenceInfo w15:providerId="Windows Live" w15:userId="8e34b4dc040cc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1F"/>
    <w:rsid w:val="000007F5"/>
    <w:rsid w:val="00001AB5"/>
    <w:rsid w:val="000228CC"/>
    <w:rsid w:val="00037155"/>
    <w:rsid w:val="000905CE"/>
    <w:rsid w:val="00093B77"/>
    <w:rsid w:val="0009765E"/>
    <w:rsid w:val="000C51D1"/>
    <w:rsid w:val="000C7827"/>
    <w:rsid w:val="000E1D64"/>
    <w:rsid w:val="00117A2F"/>
    <w:rsid w:val="00117C92"/>
    <w:rsid w:val="001B1685"/>
    <w:rsid w:val="001D0582"/>
    <w:rsid w:val="001D7DB7"/>
    <w:rsid w:val="001E47C2"/>
    <w:rsid w:val="001F24E6"/>
    <w:rsid w:val="001F4BFC"/>
    <w:rsid w:val="00203D0B"/>
    <w:rsid w:val="0021077E"/>
    <w:rsid w:val="00224F3A"/>
    <w:rsid w:val="002344F6"/>
    <w:rsid w:val="00235E28"/>
    <w:rsid w:val="00257E45"/>
    <w:rsid w:val="002A7EE1"/>
    <w:rsid w:val="002E7F4F"/>
    <w:rsid w:val="003263FD"/>
    <w:rsid w:val="00331FE5"/>
    <w:rsid w:val="00345075"/>
    <w:rsid w:val="00353BFA"/>
    <w:rsid w:val="0038168F"/>
    <w:rsid w:val="003E0F42"/>
    <w:rsid w:val="00430175"/>
    <w:rsid w:val="00466C1F"/>
    <w:rsid w:val="004721F3"/>
    <w:rsid w:val="00497DFD"/>
    <w:rsid w:val="004A7DC7"/>
    <w:rsid w:val="00503390"/>
    <w:rsid w:val="00540358"/>
    <w:rsid w:val="005725FD"/>
    <w:rsid w:val="005B035C"/>
    <w:rsid w:val="005C2FAE"/>
    <w:rsid w:val="0060244B"/>
    <w:rsid w:val="00626E3C"/>
    <w:rsid w:val="00640957"/>
    <w:rsid w:val="00660735"/>
    <w:rsid w:val="006624E9"/>
    <w:rsid w:val="006F595B"/>
    <w:rsid w:val="0073496C"/>
    <w:rsid w:val="00763112"/>
    <w:rsid w:val="00771BEB"/>
    <w:rsid w:val="00772815"/>
    <w:rsid w:val="007963BF"/>
    <w:rsid w:val="007964C6"/>
    <w:rsid w:val="007A1A47"/>
    <w:rsid w:val="007C0C10"/>
    <w:rsid w:val="007C51BF"/>
    <w:rsid w:val="007D1402"/>
    <w:rsid w:val="007D5D80"/>
    <w:rsid w:val="007E2B98"/>
    <w:rsid w:val="007E2E04"/>
    <w:rsid w:val="00841D5C"/>
    <w:rsid w:val="00910752"/>
    <w:rsid w:val="00935AEE"/>
    <w:rsid w:val="00941EAA"/>
    <w:rsid w:val="00965698"/>
    <w:rsid w:val="009A3FCA"/>
    <w:rsid w:val="009A6F00"/>
    <w:rsid w:val="009B0D0A"/>
    <w:rsid w:val="009B6480"/>
    <w:rsid w:val="009F1EE9"/>
    <w:rsid w:val="009F47BE"/>
    <w:rsid w:val="00A31E0F"/>
    <w:rsid w:val="00A94E14"/>
    <w:rsid w:val="00AA101E"/>
    <w:rsid w:val="00AB5B6F"/>
    <w:rsid w:val="00AB6A8D"/>
    <w:rsid w:val="00B56BBB"/>
    <w:rsid w:val="00B8606D"/>
    <w:rsid w:val="00B9057A"/>
    <w:rsid w:val="00B96197"/>
    <w:rsid w:val="00BA07A5"/>
    <w:rsid w:val="00BD0DA6"/>
    <w:rsid w:val="00BF2C1C"/>
    <w:rsid w:val="00C1330C"/>
    <w:rsid w:val="00C24B47"/>
    <w:rsid w:val="00C352FA"/>
    <w:rsid w:val="00C45329"/>
    <w:rsid w:val="00C47438"/>
    <w:rsid w:val="00C71451"/>
    <w:rsid w:val="00CA6B0B"/>
    <w:rsid w:val="00CC2C58"/>
    <w:rsid w:val="00D139EC"/>
    <w:rsid w:val="00D17262"/>
    <w:rsid w:val="00D21E90"/>
    <w:rsid w:val="00D82E63"/>
    <w:rsid w:val="00D97A69"/>
    <w:rsid w:val="00DA511F"/>
    <w:rsid w:val="00DB7B52"/>
    <w:rsid w:val="00DB7C9C"/>
    <w:rsid w:val="00DF1B23"/>
    <w:rsid w:val="00E13E51"/>
    <w:rsid w:val="00E20CD8"/>
    <w:rsid w:val="00F36CA1"/>
    <w:rsid w:val="00F42913"/>
    <w:rsid w:val="00F71975"/>
    <w:rsid w:val="00F75DEC"/>
    <w:rsid w:val="00FA574B"/>
    <w:rsid w:val="00FB299C"/>
    <w:rsid w:val="00FD2E5F"/>
    <w:rsid w:val="00FE408A"/>
    <w:rsid w:val="4BA56D2D"/>
    <w:rsid w:val="4C261947"/>
    <w:rsid w:val="63530F8E"/>
    <w:rsid w:val="6664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D7C4C"/>
  <w15:docId w15:val="{79439DF9-C57E-418E-8798-76B329AD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16"/>
      <w:szCs w:val="16"/>
    </w:rPr>
  </w:style>
  <w:style w:type="character" w:customStyle="1" w:styleId="aa">
    <w:name w:val="Заголовок Знак"/>
    <w:basedOn w:val="a0"/>
    <w:link w:val="a9"/>
    <w:uiPriority w:val="10"/>
    <w:qFormat/>
    <w:rPr>
      <w:rFonts w:asciiTheme="majorHAnsi" w:eastAsiaTheme="majorEastAsia" w:hAnsiTheme="majorHAnsi" w:cstheme="majorBidi"/>
      <w:b/>
      <w:bCs/>
      <w:sz w:val="32"/>
      <w:szCs w:val="32"/>
    </w:rPr>
  </w:style>
  <w:style w:type="paragraph" w:styleId="ae">
    <w:name w:val="List Paragraph"/>
    <w:basedOn w:val="a"/>
    <w:uiPriority w:val="34"/>
    <w:qFormat/>
    <w:pPr>
      <w:widowControl/>
      <w:spacing w:after="160" w:line="259" w:lineRule="auto"/>
      <w:ind w:left="720"/>
      <w:contextualSpacing/>
      <w:jc w:val="left"/>
    </w:pPr>
    <w:rPr>
      <w:kern w:val="0"/>
      <w:sz w:val="22"/>
      <w:lang w:val="en-GB"/>
      <w14:ligatures w14:val="none"/>
    </w:rPr>
  </w:style>
  <w:style w:type="character" w:customStyle="1" w:styleId="a8">
    <w:name w:val="Верхний колонтитул Знак"/>
    <w:basedOn w:val="a0"/>
    <w:link w:val="a7"/>
    <w:uiPriority w:val="99"/>
    <w:qFormat/>
    <w:rPr>
      <w:sz w:val="18"/>
      <w:szCs w:val="18"/>
    </w:rPr>
  </w:style>
  <w:style w:type="character" w:customStyle="1" w:styleId="a6">
    <w:name w:val="Нижний колонтитул Знак"/>
    <w:basedOn w:val="a0"/>
    <w:link w:val="a5"/>
    <w:uiPriority w:val="99"/>
    <w:qFormat/>
    <w:rPr>
      <w:sz w:val="18"/>
      <w:szCs w:val="18"/>
    </w:rPr>
  </w:style>
  <w:style w:type="paragraph" w:customStyle="1" w:styleId="1">
    <w:name w:val="Рецензия1"/>
    <w:hidden/>
    <w:uiPriority w:val="99"/>
    <w:semiHidden/>
    <w:qFormat/>
    <w:rPr>
      <w:kern w:val="2"/>
      <w:sz w:val="21"/>
      <w:szCs w:val="22"/>
      <w:lang w:eastAsia="zh-CN"/>
      <w14:ligatures w14:val="standardContextual"/>
    </w:rPr>
  </w:style>
  <w:style w:type="character" w:customStyle="1" w:styleId="a4">
    <w:name w:val="Текст примечания Знак"/>
    <w:basedOn w:val="a0"/>
    <w:link w:val="a3"/>
    <w:uiPriority w:val="99"/>
    <w:qFormat/>
    <w:rPr>
      <w:sz w:val="20"/>
      <w:szCs w:val="20"/>
    </w:rPr>
  </w:style>
  <w:style w:type="character" w:customStyle="1" w:styleId="ac">
    <w:name w:val="Тема примечания Знак"/>
    <w:basedOn w:val="a4"/>
    <w:link w:val="ab"/>
    <w:uiPriority w:val="99"/>
    <w:semiHidden/>
    <w:qFormat/>
    <w:rPr>
      <w:b/>
      <w:bCs/>
      <w:sz w:val="20"/>
      <w:szCs w:val="20"/>
    </w:rPr>
  </w:style>
  <w:style w:type="paragraph" w:customStyle="1" w:styleId="2">
    <w:name w:val="Рецензия2"/>
    <w:hidden/>
    <w:uiPriority w:val="99"/>
    <w:unhideWhenUsed/>
    <w:rPr>
      <w:kern w:val="2"/>
      <w:sz w:val="21"/>
      <w:szCs w:val="22"/>
      <w:lang w:eastAsia="zh-CN"/>
      <w14:ligatures w14:val="standardContextual"/>
    </w:rPr>
  </w:style>
  <w:style w:type="paragraph" w:customStyle="1" w:styleId="3">
    <w:name w:val="Рецензия3"/>
    <w:hidden/>
    <w:uiPriority w:val="99"/>
    <w:unhideWhenUsed/>
    <w:rPr>
      <w:kern w:val="2"/>
      <w:sz w:val="21"/>
      <w:szCs w:val="22"/>
      <w:lang w:eastAsia="zh-CN"/>
      <w14:ligatures w14:val="standardContextual"/>
    </w:rPr>
  </w:style>
  <w:style w:type="paragraph" w:styleId="af">
    <w:name w:val="Revision"/>
    <w:hidden/>
    <w:uiPriority w:val="99"/>
    <w:unhideWhenUsed/>
    <w:rsid w:val="003E0F42"/>
    <w:rPr>
      <w:kern w:val="2"/>
      <w:sz w:val="21"/>
      <w:szCs w:val="2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 Fang</dc:creator>
  <cp:lastModifiedBy>Alik Ismail-Zadeh</cp:lastModifiedBy>
  <cp:revision>3</cp:revision>
  <dcterms:created xsi:type="dcterms:W3CDTF">2026-04-12T09:02:00Z</dcterms:created>
  <dcterms:modified xsi:type="dcterms:W3CDTF">2026-04-12T09:29:00Z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a5705873-e8fe-4621-b413-63de2e97d330</vt:lpwstr>
  </property>
  <property fmtid="{D5CDD505-2E9C-101B-9397-08002B2CF9AE}" pid="3" name="KSOTemplateDocerSaveRecord">
    <vt:lpwstr>eyJoZGlkIjoiZjEzZjA4N2Q0MjcyZWRkMTg4ZTJmYTkwMzJmNGY3MjkiLCJ1c2VySWQiOiI1MDI3NTc4MTUifQ==</vt:lpwstr>
  </property>
  <property fmtid="{D5CDD505-2E9C-101B-9397-08002B2CF9AE}" pid="4" name="KSOProductBuildVer">
    <vt:lpwstr>2052-12.1.0.25225</vt:lpwstr>
  </property>
  <property fmtid="{D5CDD505-2E9C-101B-9397-08002B2CF9AE}" pid="5" name="ICV">
    <vt:lpwstr>E322AF58B0B146638F0B8D834CAD22EF_13</vt:lpwstr>
  </property>
</Properties>
</file>